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13" w:rsidRDefault="00C03EDC">
      <w:pPr>
        <w:pStyle w:val="Padro"/>
        <w:tabs>
          <w:tab w:val="left" w:pos="720"/>
        </w:tabs>
        <w:spacing w:line="360" w:lineRule="exact"/>
        <w:jc w:val="center"/>
        <w:rPr>
          <w:rFonts w:ascii="Arial" w:eastAsia="Arial" w:hAnsi="Arial" w:cs="Arial"/>
          <w:b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RESOLUÇÃO SEHAB 13/2014</w:t>
      </w:r>
    </w:p>
    <w:p w:rsidR="00226813" w:rsidRDefault="00226813">
      <w:pPr>
        <w:pStyle w:val="Padro"/>
        <w:spacing w:line="360" w:lineRule="exact"/>
        <w:jc w:val="both"/>
      </w:pPr>
    </w:p>
    <w:p w:rsidR="00226813" w:rsidRDefault="00C03EDC">
      <w:pPr>
        <w:pStyle w:val="Padro"/>
        <w:tabs>
          <w:tab w:val="left" w:pos="720"/>
        </w:tabs>
        <w:spacing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ab/>
      </w:r>
      <w:r>
        <w:rPr>
          <w:rFonts w:ascii="Arial" w:eastAsia="Arial" w:hAnsi="Arial" w:cs="Arial"/>
          <w:shd w:val="clear" w:color="auto" w:fill="FFFFFF"/>
        </w:rPr>
        <w:tab/>
      </w:r>
      <w:r>
        <w:rPr>
          <w:rFonts w:ascii="Arial" w:eastAsia="Arial" w:hAnsi="Arial" w:cs="Arial"/>
          <w:shd w:val="clear" w:color="auto" w:fill="FFFFFF"/>
        </w:rPr>
        <w:tab/>
      </w:r>
      <w:r>
        <w:rPr>
          <w:rFonts w:ascii="Arial" w:eastAsia="Arial" w:hAnsi="Arial" w:cs="Arial"/>
          <w:shd w:val="clear" w:color="auto" w:fill="FFFFFF"/>
        </w:rPr>
        <w:tab/>
      </w:r>
      <w:r>
        <w:rPr>
          <w:rFonts w:ascii="Arial" w:eastAsia="Arial" w:hAnsi="Arial" w:cs="Arial"/>
          <w:shd w:val="clear" w:color="auto" w:fill="FFFFFF"/>
        </w:rPr>
        <w:tab/>
      </w:r>
      <w:r>
        <w:rPr>
          <w:rFonts w:ascii="Arial" w:eastAsia="Arial" w:hAnsi="Arial" w:cs="Arial"/>
          <w:shd w:val="clear" w:color="auto" w:fill="FFFFFF"/>
        </w:rPr>
        <w:tab/>
      </w:r>
      <w:r>
        <w:rPr>
          <w:rFonts w:ascii="Arial" w:eastAsia="Arial" w:hAnsi="Arial" w:cs="Arial"/>
          <w:b/>
          <w:shd w:val="clear" w:color="auto" w:fill="FFFFFF"/>
        </w:rPr>
        <w:t>FLAVIANO AGOSTINHO DE LIMA</w:t>
      </w:r>
      <w:r>
        <w:rPr>
          <w:rFonts w:ascii="Arial" w:eastAsia="Arial" w:hAnsi="Arial" w:cs="Arial"/>
          <w:shd w:val="clear" w:color="auto" w:fill="FFFFFF"/>
        </w:rPr>
        <w:t>, Secretário da Habitação e Regularização Fundiária, no uso de suas atribuições legais e considerando as exigências contidas na Portaria 595, de 18 de Dezembro de 2013, do Ministério das Cidades, que dispõe sobre os parâmetros de priorização e sobre o processo de seleção dos beneficiários do Programa Minha Casa, Minha Vida - PMCMV, faixa I.</w:t>
      </w:r>
    </w:p>
    <w:p w:rsidR="00226813" w:rsidRDefault="00226813">
      <w:pPr>
        <w:pStyle w:val="Padro"/>
        <w:tabs>
          <w:tab w:val="left" w:pos="720"/>
        </w:tabs>
        <w:spacing w:line="360" w:lineRule="exact"/>
        <w:jc w:val="center"/>
      </w:pPr>
    </w:p>
    <w:p w:rsidR="00226813" w:rsidRDefault="00C03EDC">
      <w:pPr>
        <w:pStyle w:val="Padro"/>
        <w:tabs>
          <w:tab w:val="left" w:pos="720"/>
        </w:tabs>
        <w:spacing w:line="360" w:lineRule="exact"/>
        <w:jc w:val="center"/>
        <w:rPr>
          <w:rFonts w:ascii="Arial" w:eastAsia="Arial" w:hAnsi="Arial" w:cs="Arial"/>
          <w:b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RESOLVE</w:t>
      </w:r>
    </w:p>
    <w:p w:rsidR="00226813" w:rsidRDefault="00C03EDC">
      <w:pPr>
        <w:pStyle w:val="Padro"/>
        <w:tabs>
          <w:tab w:val="left" w:pos="720"/>
        </w:tabs>
        <w:spacing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 xml:space="preserve">Art. 1º </w:t>
      </w:r>
      <w:r>
        <w:rPr>
          <w:rFonts w:ascii="Arial" w:eastAsia="Arial" w:hAnsi="Arial" w:cs="Arial"/>
          <w:shd w:val="clear" w:color="auto" w:fill="FFFFFF"/>
        </w:rPr>
        <w:t>Tornar público:</w:t>
      </w:r>
    </w:p>
    <w:p w:rsidR="00226813" w:rsidRDefault="00226813">
      <w:pPr>
        <w:pStyle w:val="Padro"/>
        <w:tabs>
          <w:tab w:val="left" w:pos="720"/>
        </w:tabs>
        <w:spacing w:line="360" w:lineRule="exact"/>
        <w:jc w:val="both"/>
      </w:pPr>
    </w:p>
    <w:p w:rsidR="00226813" w:rsidRDefault="00C03EDC">
      <w:pPr>
        <w:pStyle w:val="Padro"/>
        <w:tabs>
          <w:tab w:val="left" w:pos="720"/>
        </w:tabs>
        <w:spacing w:line="360" w:lineRule="exact"/>
        <w:jc w:val="both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1)</w:t>
      </w:r>
      <w:r>
        <w:rPr>
          <w:rFonts w:ascii="Arial" w:eastAsia="Arial" w:hAnsi="Arial" w:cs="Arial"/>
          <w:shd w:val="clear" w:color="auto" w:fill="FFFFFF"/>
        </w:rPr>
        <w:t xml:space="preserve"> No </w:t>
      </w:r>
      <w:r>
        <w:rPr>
          <w:rFonts w:ascii="Arial" w:eastAsia="Arial" w:hAnsi="Arial" w:cs="Arial"/>
          <w:b/>
          <w:shd w:val="clear" w:color="auto" w:fill="FFFFFF"/>
        </w:rPr>
        <w:t xml:space="preserve">ANEXO 1, </w:t>
      </w:r>
      <w:r>
        <w:rPr>
          <w:rFonts w:ascii="Arial" w:eastAsia="Arial" w:hAnsi="Arial" w:cs="Arial"/>
          <w:color w:val="000000"/>
          <w:shd w:val="clear" w:color="auto" w:fill="FFFFFF"/>
        </w:rPr>
        <w:t>sobre os candidatos sorteados em 25/05/2014,</w:t>
      </w:r>
      <w:r>
        <w:rPr>
          <w:rFonts w:ascii="Arial" w:eastAsia="Arial" w:hAnsi="Arial" w:cs="Arial"/>
          <w:shd w:val="clear" w:color="auto" w:fill="FFFFFF"/>
        </w:rPr>
        <w:t xml:space="preserve"> o parecer da</w:t>
      </w:r>
      <w:r>
        <w:rPr>
          <w:rFonts w:ascii="Arial" w:eastAsia="Arial" w:hAnsi="Arial" w:cs="Arial"/>
          <w:color w:val="000000"/>
          <w:shd w:val="clear" w:color="auto" w:fill="FFFFFF"/>
        </w:rPr>
        <w:t xml:space="preserve"> Comissão do Conselho Gestor do Fundo de</w:t>
      </w:r>
      <w:r w:rsidR="00EA1C30">
        <w:rPr>
          <w:rFonts w:ascii="Arial" w:eastAsia="Arial" w:hAnsi="Arial" w:cs="Arial"/>
          <w:color w:val="000000"/>
          <w:shd w:val="clear" w:color="auto" w:fill="FFFFFF"/>
        </w:rPr>
        <w:t xml:space="preserve"> Habitação de Interesse Social </w:t>
      </w:r>
      <w:r>
        <w:rPr>
          <w:rFonts w:ascii="Arial" w:eastAsia="Arial" w:hAnsi="Arial" w:cs="Arial"/>
          <w:color w:val="000000"/>
          <w:shd w:val="clear" w:color="auto" w:fill="FFFFFF"/>
        </w:rPr>
        <w:t>em virtude de:</w:t>
      </w:r>
    </w:p>
    <w:p w:rsidR="00226813" w:rsidRDefault="00C03EDC">
      <w:pPr>
        <w:pStyle w:val="Padro"/>
        <w:spacing w:after="100" w:line="360" w:lineRule="exact"/>
        <w:jc w:val="both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hd w:val="clear" w:color="auto" w:fill="FFFFFF"/>
        </w:rPr>
        <w:t xml:space="preserve">a) </w:t>
      </w:r>
      <w:r>
        <w:rPr>
          <w:rFonts w:ascii="Arial" w:eastAsia="Arial" w:hAnsi="Arial" w:cs="Arial"/>
          <w:color w:val="000000"/>
          <w:shd w:val="clear" w:color="auto" w:fill="FFFFFF"/>
        </w:rPr>
        <w:t>renda bruta familiar acima de R$1.600,00;</w:t>
      </w:r>
    </w:p>
    <w:p w:rsidR="00226813" w:rsidRDefault="00C03EDC">
      <w:pPr>
        <w:pStyle w:val="Padro"/>
        <w:spacing w:after="100" w:line="360" w:lineRule="exact"/>
        <w:jc w:val="both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hd w:val="clear" w:color="auto" w:fill="FFFFFF"/>
        </w:rPr>
        <w:t xml:space="preserve">b) </w:t>
      </w:r>
      <w:r>
        <w:rPr>
          <w:rFonts w:ascii="Arial" w:eastAsia="Arial" w:hAnsi="Arial" w:cs="Arial"/>
          <w:color w:val="000000"/>
          <w:shd w:val="clear" w:color="auto" w:fill="FFFFFF"/>
        </w:rPr>
        <w:t>ter declarado possuir propriedade;</w:t>
      </w:r>
    </w:p>
    <w:p w:rsidR="00226813" w:rsidRPr="00C03EDC" w:rsidRDefault="00C03EDC">
      <w:pPr>
        <w:pStyle w:val="Padro"/>
        <w:spacing w:after="100" w:line="360" w:lineRule="exact"/>
        <w:jc w:val="both"/>
        <w:rPr>
          <w:rFonts w:ascii="Arial" w:eastAsia="Arial" w:hAnsi="Arial" w:cs="Arial"/>
          <w:shd w:val="clear" w:color="auto" w:fill="FFFFFF"/>
        </w:rPr>
      </w:pPr>
      <w:r w:rsidRPr="00C03EDC">
        <w:rPr>
          <w:rFonts w:ascii="Arial" w:eastAsia="Arial" w:hAnsi="Arial" w:cs="Arial"/>
          <w:b/>
          <w:color w:val="000000"/>
          <w:shd w:val="clear" w:color="auto" w:fill="FFFFFF"/>
        </w:rPr>
        <w:t>c)</w:t>
      </w:r>
      <w:r w:rsidRPr="00C03EDC">
        <w:rPr>
          <w:rFonts w:ascii="Arial" w:eastAsia="Arial" w:hAnsi="Arial" w:cs="Arial"/>
          <w:color w:val="000000"/>
          <w:shd w:val="clear" w:color="auto" w:fill="FFFFFF"/>
        </w:rPr>
        <w:t xml:space="preserve"> </w:t>
      </w:r>
      <w:r w:rsidRPr="00C03EDC">
        <w:rPr>
          <w:rFonts w:ascii="Arial" w:eastAsia="Arial" w:hAnsi="Arial" w:cs="Arial"/>
          <w:shd w:val="clear" w:color="auto" w:fill="FFFFFF"/>
        </w:rPr>
        <w:t>não comprovar residência em Sorocaba;</w:t>
      </w:r>
    </w:p>
    <w:p w:rsidR="00226813" w:rsidRDefault="00C03EDC">
      <w:pPr>
        <w:pStyle w:val="Padro"/>
        <w:spacing w:after="100" w:line="360" w:lineRule="exact"/>
        <w:jc w:val="both"/>
        <w:rPr>
          <w:rFonts w:ascii="Arial" w:eastAsia="Arial" w:hAnsi="Arial" w:cs="Arial"/>
          <w:shd w:val="clear" w:color="auto" w:fill="FFFF00"/>
        </w:rPr>
      </w:pPr>
      <w:r w:rsidRPr="00EB6641">
        <w:rPr>
          <w:rFonts w:ascii="Arial" w:eastAsia="Arial" w:hAnsi="Arial" w:cs="Arial"/>
          <w:b/>
          <w:bCs/>
          <w:shd w:val="clear" w:color="auto" w:fill="FFFF00"/>
        </w:rPr>
        <w:t>d)</w:t>
      </w:r>
      <w:r w:rsidRPr="00EB6641">
        <w:rPr>
          <w:rFonts w:ascii="Arial" w:eastAsia="Arial" w:hAnsi="Arial" w:cs="Arial"/>
          <w:shd w:val="clear" w:color="auto" w:fill="FFFF00"/>
        </w:rPr>
        <w:t xml:space="preserve"> não comprovar os critérios declarados.</w:t>
      </w:r>
    </w:p>
    <w:p w:rsidR="00226813" w:rsidRDefault="00226813">
      <w:pPr>
        <w:pStyle w:val="Padro"/>
        <w:spacing w:after="100" w:line="360" w:lineRule="exact"/>
        <w:jc w:val="both"/>
      </w:pPr>
    </w:p>
    <w:p w:rsidR="00226813" w:rsidRDefault="00C03EDC">
      <w:pPr>
        <w:pStyle w:val="Padro"/>
        <w:tabs>
          <w:tab w:val="left" w:pos="720"/>
        </w:tabs>
        <w:spacing w:line="360" w:lineRule="exact"/>
        <w:jc w:val="both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2)</w:t>
      </w:r>
      <w:r>
        <w:rPr>
          <w:rFonts w:ascii="Arial" w:eastAsia="Arial" w:hAnsi="Arial" w:cs="Arial"/>
          <w:shd w:val="clear" w:color="auto" w:fill="FFFFFF"/>
        </w:rPr>
        <w:t xml:space="preserve"> No </w:t>
      </w:r>
      <w:r>
        <w:rPr>
          <w:rFonts w:ascii="Arial" w:eastAsia="Arial" w:hAnsi="Arial" w:cs="Arial"/>
          <w:b/>
          <w:shd w:val="clear" w:color="auto" w:fill="FFFFFF"/>
        </w:rPr>
        <w:t xml:space="preserve">ANEXO 2, </w:t>
      </w:r>
      <w:r>
        <w:rPr>
          <w:rFonts w:ascii="Arial" w:eastAsia="Arial" w:hAnsi="Arial" w:cs="Arial"/>
          <w:shd w:val="clear" w:color="auto" w:fill="FFFFFF"/>
        </w:rPr>
        <w:t>os pareceres da</w:t>
      </w:r>
      <w:r>
        <w:rPr>
          <w:rFonts w:ascii="Arial" w:eastAsia="Arial" w:hAnsi="Arial" w:cs="Arial"/>
          <w:color w:val="000000"/>
          <w:shd w:val="clear" w:color="auto" w:fill="FFFFFF"/>
        </w:rPr>
        <w:t xml:space="preserve"> Comissão do Conselho Gestor do Fundo de Habitação de Interesse Social em virtude dos recurso interpostos nos dias 04 e 05/08/2014 sobre as listas dos candidatos que irão participar do sorteio para o empreendimento Jardim Carandá, referente a Resolução 12/2014, de 01/08/2014:</w:t>
      </w:r>
    </w:p>
    <w:p w:rsidR="00226813" w:rsidRDefault="00C03EDC">
      <w:pPr>
        <w:pStyle w:val="Padro"/>
        <w:spacing w:after="100" w:line="360" w:lineRule="exact"/>
        <w:jc w:val="both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hd w:val="clear" w:color="auto" w:fill="FFFFFF"/>
        </w:rPr>
        <w:t xml:space="preserve">a) </w:t>
      </w:r>
      <w:r>
        <w:rPr>
          <w:rFonts w:ascii="Arial" w:eastAsia="Arial" w:hAnsi="Arial" w:cs="Arial"/>
          <w:color w:val="000000"/>
          <w:shd w:val="clear" w:color="auto" w:fill="FFFFFF"/>
        </w:rPr>
        <w:t>ANEXO 2 A) PARECER DE DEFERIMENTO;</w:t>
      </w:r>
    </w:p>
    <w:p w:rsidR="00226813" w:rsidRDefault="00C03EDC">
      <w:pPr>
        <w:pStyle w:val="Padro"/>
        <w:spacing w:after="100" w:line="360" w:lineRule="exact"/>
        <w:jc w:val="both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hd w:val="clear" w:color="auto" w:fill="FFFFFF"/>
        </w:rPr>
        <w:t xml:space="preserve">b) </w:t>
      </w:r>
      <w:r>
        <w:rPr>
          <w:rFonts w:ascii="Arial" w:eastAsia="Arial" w:hAnsi="Arial" w:cs="Arial"/>
          <w:color w:val="000000"/>
          <w:shd w:val="clear" w:color="auto" w:fill="FFFFFF"/>
        </w:rPr>
        <w:t>ANEXO 2 B) PARECER DE INDEFERIMENTO;</w:t>
      </w:r>
      <w:bookmarkStart w:id="0" w:name="_GoBack"/>
      <w:bookmarkEnd w:id="0"/>
    </w:p>
    <w:p w:rsidR="00226813" w:rsidRDefault="00226813">
      <w:pPr>
        <w:pStyle w:val="Padro"/>
        <w:spacing w:after="100" w:line="360" w:lineRule="exact"/>
        <w:jc w:val="both"/>
      </w:pPr>
    </w:p>
    <w:p w:rsidR="00226813" w:rsidRDefault="00C03EDC">
      <w:pPr>
        <w:pStyle w:val="Padro"/>
        <w:spacing w:after="100" w:line="360" w:lineRule="exact"/>
        <w:jc w:val="both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hd w:val="clear" w:color="auto" w:fill="FFFFFF"/>
        </w:rPr>
        <w:t xml:space="preserve">3) </w:t>
      </w:r>
      <w:r>
        <w:rPr>
          <w:rFonts w:ascii="Arial" w:eastAsia="Arial" w:hAnsi="Arial" w:cs="Arial"/>
          <w:color w:val="000000"/>
          <w:shd w:val="clear" w:color="auto" w:fill="FFFFFF"/>
        </w:rPr>
        <w:t xml:space="preserve">No </w:t>
      </w:r>
      <w:r>
        <w:rPr>
          <w:rFonts w:ascii="Arial" w:eastAsia="Arial" w:hAnsi="Arial" w:cs="Arial"/>
          <w:b/>
          <w:color w:val="000000"/>
          <w:shd w:val="clear" w:color="auto" w:fill="FFFFFF"/>
        </w:rPr>
        <w:t xml:space="preserve">ANEXO 3, </w:t>
      </w:r>
      <w:r>
        <w:rPr>
          <w:rFonts w:ascii="Arial" w:eastAsia="Arial" w:hAnsi="Arial" w:cs="Arial"/>
          <w:color w:val="000000"/>
          <w:shd w:val="clear" w:color="auto" w:fill="FFFFFF"/>
        </w:rPr>
        <w:t xml:space="preserve">os pareceres da Comissão do Conselho Gestor do Fundo de Habitação de Interesse </w:t>
      </w:r>
      <w:proofErr w:type="gramStart"/>
      <w:r>
        <w:rPr>
          <w:rFonts w:ascii="Arial" w:eastAsia="Arial" w:hAnsi="Arial" w:cs="Arial"/>
          <w:color w:val="000000"/>
          <w:shd w:val="clear" w:color="auto" w:fill="FFFFFF"/>
        </w:rPr>
        <w:t>Social  em</w:t>
      </w:r>
      <w:proofErr w:type="gramEnd"/>
      <w:r>
        <w:rPr>
          <w:rFonts w:ascii="Arial" w:eastAsia="Arial" w:hAnsi="Arial" w:cs="Arial"/>
          <w:color w:val="000000"/>
          <w:shd w:val="clear" w:color="auto" w:fill="FFFFFF"/>
        </w:rPr>
        <w:t xml:space="preserve"> virtude de dos recurso interpostos nos dias 28 e 29/07/2014 referente a  Resolução 11/2014,  de 25/07/2014:</w:t>
      </w:r>
    </w:p>
    <w:p w:rsidR="00226813" w:rsidRDefault="00C03EDC">
      <w:pPr>
        <w:pStyle w:val="Padro"/>
        <w:spacing w:after="100" w:line="360" w:lineRule="exact"/>
        <w:jc w:val="both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hd w:val="clear" w:color="auto" w:fill="FFFFFF"/>
        </w:rPr>
        <w:t xml:space="preserve">a) </w:t>
      </w:r>
      <w:r>
        <w:rPr>
          <w:rFonts w:ascii="Arial" w:eastAsia="Arial" w:hAnsi="Arial" w:cs="Arial"/>
          <w:color w:val="000000"/>
          <w:shd w:val="clear" w:color="auto" w:fill="FFFFFF"/>
        </w:rPr>
        <w:t>ANEXO 3 A) PARECER DE DEFERIMENTO;</w:t>
      </w:r>
    </w:p>
    <w:p w:rsidR="00226813" w:rsidRDefault="00C03EDC">
      <w:pPr>
        <w:pStyle w:val="Padro"/>
        <w:spacing w:after="100" w:line="360" w:lineRule="exact"/>
        <w:jc w:val="both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hd w:val="clear" w:color="auto" w:fill="FFFFFF"/>
        </w:rPr>
        <w:t xml:space="preserve">b) </w:t>
      </w:r>
      <w:r>
        <w:rPr>
          <w:rFonts w:ascii="Arial" w:eastAsia="Arial" w:hAnsi="Arial" w:cs="Arial"/>
          <w:color w:val="000000"/>
          <w:shd w:val="clear" w:color="auto" w:fill="FFFFFF"/>
        </w:rPr>
        <w:t>ANEXO 3 B) PARECER DE INDEFERIMENTO;</w:t>
      </w:r>
    </w:p>
    <w:p w:rsidR="00226813" w:rsidRDefault="00C03EDC">
      <w:pPr>
        <w:pStyle w:val="Padro"/>
        <w:tabs>
          <w:tab w:val="left" w:pos="720"/>
        </w:tabs>
        <w:spacing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lastRenderedPageBreak/>
        <w:t>Art. 2º</w:t>
      </w:r>
      <w:r>
        <w:rPr>
          <w:rFonts w:ascii="Arial" w:eastAsia="Arial" w:hAnsi="Arial" w:cs="Arial"/>
          <w:shd w:val="clear" w:color="auto" w:fill="FFFFFF"/>
        </w:rPr>
        <w:t xml:space="preserve"> Esta Resolução entra em vigor na data de sua publicação no átrio do Paço </w:t>
      </w:r>
    </w:p>
    <w:p w:rsidR="00226813" w:rsidRDefault="00C03EDC">
      <w:pPr>
        <w:pStyle w:val="Padro"/>
        <w:tabs>
          <w:tab w:val="left" w:pos="720"/>
        </w:tabs>
        <w:spacing w:line="360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Municipal, localizado na Avenida Carlos Reinaldo Mendes nº 3041, do Alto da Boa Vista e/ou no site oficial do município (</w:t>
      </w:r>
      <w:hyperlink r:id="rId4">
        <w:r>
          <w:rPr>
            <w:rStyle w:val="LinkdaInternet"/>
            <w:rFonts w:ascii="Arial" w:eastAsia="Arial" w:hAnsi="Arial" w:cs="Arial"/>
            <w:shd w:val="clear" w:color="auto" w:fill="FFFFFF"/>
          </w:rPr>
          <w:t>www.sorocaba.sp.gov.br</w:t>
        </w:r>
      </w:hyperlink>
      <w:r>
        <w:rPr>
          <w:rFonts w:ascii="Arial" w:eastAsia="Arial" w:hAnsi="Arial" w:cs="Arial"/>
          <w:shd w:val="clear" w:color="auto" w:fill="FFFFFF"/>
        </w:rPr>
        <w:t>), “Portal da Cidadania”.</w:t>
      </w:r>
    </w:p>
    <w:p w:rsidR="00226813" w:rsidRDefault="00226813">
      <w:pPr>
        <w:pStyle w:val="Padro"/>
        <w:tabs>
          <w:tab w:val="left" w:pos="720"/>
        </w:tabs>
        <w:spacing w:line="360" w:lineRule="exact"/>
        <w:jc w:val="both"/>
      </w:pPr>
    </w:p>
    <w:p w:rsidR="00226813" w:rsidRDefault="00226813">
      <w:pPr>
        <w:pStyle w:val="Padro"/>
        <w:tabs>
          <w:tab w:val="left" w:pos="720"/>
        </w:tabs>
        <w:spacing w:line="360" w:lineRule="exact"/>
        <w:jc w:val="both"/>
      </w:pPr>
    </w:p>
    <w:p w:rsidR="00226813" w:rsidRDefault="00C03EDC">
      <w:pPr>
        <w:pStyle w:val="Padro"/>
        <w:tabs>
          <w:tab w:val="left" w:pos="720"/>
        </w:tabs>
        <w:spacing w:line="360" w:lineRule="exact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Sorocaba, 14 </w:t>
      </w:r>
      <w:proofErr w:type="gramStart"/>
      <w:r>
        <w:rPr>
          <w:rFonts w:ascii="Arial" w:eastAsia="Arial" w:hAnsi="Arial" w:cs="Arial"/>
          <w:shd w:val="clear" w:color="auto" w:fill="FFFFFF"/>
        </w:rPr>
        <w:t>de  Agosto</w:t>
      </w:r>
      <w:proofErr w:type="gramEnd"/>
      <w:r>
        <w:rPr>
          <w:rFonts w:ascii="Arial" w:eastAsia="Arial" w:hAnsi="Arial" w:cs="Arial"/>
          <w:shd w:val="clear" w:color="auto" w:fill="FFFFFF"/>
        </w:rPr>
        <w:t xml:space="preserve"> de 2014</w:t>
      </w:r>
    </w:p>
    <w:p w:rsidR="00226813" w:rsidRDefault="00C03EDC">
      <w:pPr>
        <w:pStyle w:val="Padro"/>
        <w:tabs>
          <w:tab w:val="left" w:pos="720"/>
        </w:tabs>
        <w:spacing w:line="360" w:lineRule="exact"/>
        <w:jc w:val="center"/>
        <w:rPr>
          <w:rFonts w:ascii="Arial" w:eastAsia="Arial" w:hAnsi="Arial" w:cs="Arial"/>
          <w:b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FLAVIANO AGOSTINHO DE LIMA</w:t>
      </w:r>
    </w:p>
    <w:p w:rsidR="00226813" w:rsidRDefault="00C03EDC">
      <w:pPr>
        <w:pStyle w:val="Padro"/>
        <w:tabs>
          <w:tab w:val="left" w:pos="720"/>
        </w:tabs>
        <w:spacing w:line="360" w:lineRule="exact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 </w:t>
      </w:r>
      <w:proofErr w:type="gramStart"/>
      <w:r>
        <w:rPr>
          <w:rFonts w:ascii="Arial" w:eastAsia="Arial" w:hAnsi="Arial" w:cs="Arial"/>
          <w:shd w:val="clear" w:color="auto" w:fill="FFFFFF"/>
        </w:rPr>
        <w:t>Secretário  da</w:t>
      </w:r>
      <w:proofErr w:type="gramEnd"/>
      <w:r>
        <w:rPr>
          <w:rFonts w:ascii="Arial" w:eastAsia="Arial" w:hAnsi="Arial" w:cs="Arial"/>
          <w:shd w:val="clear" w:color="auto" w:fill="FFFFFF"/>
        </w:rPr>
        <w:t xml:space="preserve"> Habitação e Regularização Fundiária</w:t>
      </w:r>
    </w:p>
    <w:p w:rsidR="00226813" w:rsidRDefault="00226813">
      <w:pPr>
        <w:pStyle w:val="Padro"/>
        <w:tabs>
          <w:tab w:val="left" w:pos="720"/>
        </w:tabs>
        <w:spacing w:line="360" w:lineRule="exact"/>
        <w:jc w:val="center"/>
      </w:pPr>
    </w:p>
    <w:p w:rsidR="00226813" w:rsidRDefault="00226813">
      <w:pPr>
        <w:pStyle w:val="Padro"/>
        <w:tabs>
          <w:tab w:val="left" w:pos="720"/>
        </w:tabs>
        <w:spacing w:line="360" w:lineRule="exact"/>
        <w:jc w:val="both"/>
      </w:pPr>
    </w:p>
    <w:p w:rsidR="00226813" w:rsidRDefault="00226813">
      <w:pPr>
        <w:pStyle w:val="Padro"/>
        <w:tabs>
          <w:tab w:val="left" w:pos="720"/>
        </w:tabs>
        <w:spacing w:line="360" w:lineRule="exact"/>
        <w:jc w:val="both"/>
      </w:pPr>
    </w:p>
    <w:p w:rsidR="00226813" w:rsidRDefault="00226813">
      <w:pPr>
        <w:pStyle w:val="Padro"/>
        <w:tabs>
          <w:tab w:val="left" w:pos="720"/>
        </w:tabs>
        <w:spacing w:line="360" w:lineRule="exact"/>
        <w:jc w:val="both"/>
      </w:pPr>
    </w:p>
    <w:p w:rsidR="00226813" w:rsidRDefault="00226813">
      <w:pPr>
        <w:pStyle w:val="Padro"/>
        <w:tabs>
          <w:tab w:val="left" w:pos="720"/>
        </w:tabs>
        <w:spacing w:line="360" w:lineRule="exact"/>
        <w:jc w:val="both"/>
      </w:pPr>
    </w:p>
    <w:p w:rsidR="00226813" w:rsidRDefault="00226813">
      <w:pPr>
        <w:pStyle w:val="Padro"/>
        <w:tabs>
          <w:tab w:val="left" w:pos="720"/>
        </w:tabs>
        <w:spacing w:line="360" w:lineRule="exact"/>
        <w:jc w:val="both"/>
      </w:pPr>
    </w:p>
    <w:p w:rsidR="00226813" w:rsidRDefault="00226813">
      <w:pPr>
        <w:pStyle w:val="Padro"/>
        <w:tabs>
          <w:tab w:val="left" w:pos="720"/>
        </w:tabs>
        <w:spacing w:line="360" w:lineRule="exact"/>
        <w:jc w:val="both"/>
      </w:pPr>
    </w:p>
    <w:p w:rsidR="00226813" w:rsidRDefault="00226813">
      <w:pPr>
        <w:pStyle w:val="Padro"/>
        <w:tabs>
          <w:tab w:val="left" w:pos="720"/>
        </w:tabs>
        <w:spacing w:line="360" w:lineRule="exact"/>
        <w:jc w:val="both"/>
      </w:pPr>
    </w:p>
    <w:p w:rsidR="00226813" w:rsidRDefault="00226813">
      <w:pPr>
        <w:pStyle w:val="Padro"/>
        <w:tabs>
          <w:tab w:val="left" w:pos="720"/>
        </w:tabs>
        <w:spacing w:line="360" w:lineRule="exact"/>
        <w:jc w:val="both"/>
      </w:pPr>
    </w:p>
    <w:p w:rsidR="00226813" w:rsidRDefault="00226813">
      <w:pPr>
        <w:pStyle w:val="Padro"/>
        <w:tabs>
          <w:tab w:val="left" w:pos="720"/>
        </w:tabs>
        <w:spacing w:line="360" w:lineRule="exact"/>
        <w:jc w:val="both"/>
      </w:pPr>
    </w:p>
    <w:p w:rsidR="00226813" w:rsidRDefault="00226813">
      <w:pPr>
        <w:pStyle w:val="Padro"/>
        <w:tabs>
          <w:tab w:val="left" w:pos="720"/>
        </w:tabs>
        <w:spacing w:line="360" w:lineRule="exact"/>
        <w:jc w:val="both"/>
      </w:pPr>
    </w:p>
    <w:p w:rsidR="00226813" w:rsidRDefault="00226813">
      <w:pPr>
        <w:pStyle w:val="Padro"/>
        <w:tabs>
          <w:tab w:val="left" w:pos="720"/>
        </w:tabs>
        <w:spacing w:line="360" w:lineRule="exact"/>
        <w:jc w:val="both"/>
      </w:pPr>
    </w:p>
    <w:p w:rsidR="00226813" w:rsidRDefault="00226813">
      <w:pPr>
        <w:pStyle w:val="Padro"/>
        <w:tabs>
          <w:tab w:val="left" w:pos="720"/>
        </w:tabs>
        <w:spacing w:line="360" w:lineRule="exact"/>
        <w:jc w:val="both"/>
      </w:pPr>
    </w:p>
    <w:p w:rsidR="00226813" w:rsidRDefault="00226813">
      <w:pPr>
        <w:pStyle w:val="Padro"/>
        <w:tabs>
          <w:tab w:val="left" w:pos="720"/>
        </w:tabs>
        <w:spacing w:line="360" w:lineRule="exact"/>
        <w:jc w:val="both"/>
      </w:pPr>
    </w:p>
    <w:p w:rsidR="00226813" w:rsidRDefault="00226813">
      <w:pPr>
        <w:pStyle w:val="Padro"/>
        <w:tabs>
          <w:tab w:val="left" w:pos="720"/>
        </w:tabs>
        <w:spacing w:line="360" w:lineRule="exact"/>
        <w:jc w:val="both"/>
      </w:pPr>
    </w:p>
    <w:p w:rsidR="00226813" w:rsidRDefault="00226813">
      <w:pPr>
        <w:pStyle w:val="Padro"/>
        <w:tabs>
          <w:tab w:val="left" w:pos="720"/>
        </w:tabs>
        <w:spacing w:line="360" w:lineRule="exact"/>
        <w:jc w:val="both"/>
      </w:pPr>
    </w:p>
    <w:p w:rsidR="00226813" w:rsidRDefault="00226813">
      <w:pPr>
        <w:pStyle w:val="Padro"/>
        <w:tabs>
          <w:tab w:val="left" w:pos="720"/>
        </w:tabs>
        <w:spacing w:line="360" w:lineRule="exact"/>
        <w:jc w:val="both"/>
      </w:pPr>
    </w:p>
    <w:p w:rsidR="00226813" w:rsidRDefault="00226813">
      <w:pPr>
        <w:pStyle w:val="Padro"/>
        <w:tabs>
          <w:tab w:val="left" w:pos="720"/>
        </w:tabs>
        <w:spacing w:line="360" w:lineRule="exact"/>
        <w:jc w:val="both"/>
      </w:pPr>
    </w:p>
    <w:p w:rsidR="00226813" w:rsidRDefault="00226813">
      <w:pPr>
        <w:pStyle w:val="Padro"/>
        <w:tabs>
          <w:tab w:val="left" w:pos="720"/>
        </w:tabs>
        <w:spacing w:line="360" w:lineRule="exact"/>
        <w:jc w:val="both"/>
      </w:pPr>
    </w:p>
    <w:p w:rsidR="00226813" w:rsidRDefault="00226813">
      <w:pPr>
        <w:pStyle w:val="Padro"/>
        <w:tabs>
          <w:tab w:val="left" w:pos="720"/>
        </w:tabs>
        <w:spacing w:line="360" w:lineRule="exact"/>
        <w:jc w:val="both"/>
      </w:pPr>
    </w:p>
    <w:p w:rsidR="00226813" w:rsidRDefault="00226813">
      <w:pPr>
        <w:pStyle w:val="Padro"/>
        <w:tabs>
          <w:tab w:val="left" w:pos="720"/>
        </w:tabs>
        <w:spacing w:line="360" w:lineRule="exact"/>
        <w:jc w:val="both"/>
      </w:pPr>
    </w:p>
    <w:p w:rsidR="00226813" w:rsidRDefault="00226813">
      <w:pPr>
        <w:pStyle w:val="Padro"/>
        <w:tabs>
          <w:tab w:val="left" w:pos="720"/>
        </w:tabs>
        <w:spacing w:line="360" w:lineRule="exact"/>
        <w:jc w:val="both"/>
      </w:pPr>
    </w:p>
    <w:p w:rsidR="00226813" w:rsidRDefault="00226813">
      <w:pPr>
        <w:pStyle w:val="Padro"/>
        <w:tabs>
          <w:tab w:val="left" w:pos="720"/>
        </w:tabs>
        <w:spacing w:line="360" w:lineRule="exact"/>
        <w:jc w:val="both"/>
      </w:pPr>
    </w:p>
    <w:sectPr w:rsidR="00226813">
      <w:pgSz w:w="12240" w:h="15840"/>
      <w:pgMar w:top="1440" w:right="1800" w:bottom="1440" w:left="180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6813"/>
    <w:rsid w:val="000432F0"/>
    <w:rsid w:val="00226813"/>
    <w:rsid w:val="00C03EDC"/>
    <w:rsid w:val="00EA1C30"/>
    <w:rsid w:val="00EB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E05F2D-C634-4605-A868-65548A58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  <w:lang w:val="pt-BR" w:eastAsia="pt-BR" w:bidi="pt-BR"/>
    </w:rPr>
  </w:style>
  <w:style w:type="paragraph" w:styleId="Ttulo">
    <w:name w:val="Title"/>
    <w:basedOn w:val="Padro"/>
    <w:next w:val="Corpodo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Padr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pPr>
      <w:suppressLineNumbers/>
    </w:pPr>
  </w:style>
  <w:style w:type="paragraph" w:customStyle="1" w:styleId="Padro">
    <w:name w:val="Padrão"/>
    <w:pPr>
      <w:widowControl w:val="0"/>
      <w:suppressAutoHyphens/>
    </w:pPr>
    <w:rPr>
      <w:rFonts w:ascii="Times New Roman" w:hAnsi="Times New Roman"/>
      <w:color w:val="00000A"/>
    </w:rPr>
  </w:style>
  <w:style w:type="paragraph" w:styleId="Corpodetexto">
    <w:name w:val="Body Text"/>
    <w:basedOn w:val="Padro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rocaba.sp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292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Valquiria do Carmo Monteiro</cp:lastModifiedBy>
  <cp:revision>5</cp:revision>
  <dcterms:created xsi:type="dcterms:W3CDTF">2014-08-12T15:05:00Z</dcterms:created>
  <dcterms:modified xsi:type="dcterms:W3CDTF">2015-12-29T11:44:00Z</dcterms:modified>
  <dc:language>pt-BR</dc:language>
</cp:coreProperties>
</file>